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686" w:rsidRPr="00BF79BA" w:rsidRDefault="00A76686" w:rsidP="00A76686">
      <w:pPr>
        <w:jc w:val="both"/>
        <w:rPr>
          <w:rFonts w:ascii="Tahoma" w:hAnsi="Tahoma" w:cs="Tahoma"/>
          <w:lang w:val="tr-TR"/>
        </w:rPr>
      </w:pPr>
    </w:p>
    <w:p w:rsidR="00A76686" w:rsidRPr="00BF79BA" w:rsidRDefault="00A76686" w:rsidP="00A76686">
      <w:pPr>
        <w:jc w:val="both"/>
        <w:rPr>
          <w:rFonts w:ascii="Tahoma" w:hAnsi="Tahoma" w:cs="Tahoma"/>
          <w:lang w:val="tr-TR"/>
        </w:rPr>
      </w:pPr>
    </w:p>
    <w:p w:rsidR="00A76686" w:rsidRPr="00BF79BA" w:rsidRDefault="00A76686" w:rsidP="00A76686">
      <w:pPr>
        <w:jc w:val="center"/>
        <w:rPr>
          <w:rFonts w:ascii="Tahoma" w:eastAsia="Times New Roman" w:hAnsi="Tahoma" w:cs="Tahoma"/>
          <w:b/>
          <w:sz w:val="38"/>
          <w:szCs w:val="38"/>
          <w:lang w:val="tr-TR"/>
        </w:rPr>
      </w:pPr>
      <w:r w:rsidRPr="00BF79BA">
        <w:rPr>
          <w:rFonts w:ascii="Tahoma" w:hAnsi="Tahoma" w:cs="Tahoma"/>
          <w:b/>
          <w:sz w:val="38"/>
          <w:szCs w:val="38"/>
          <w:lang w:bidi="lt-LT"/>
        </w:rPr>
        <w:t xml:space="preserve">„Karsan“ atakuoja eksportą! </w:t>
      </w:r>
    </w:p>
    <w:p w:rsidR="00A76686" w:rsidRPr="00BF79BA" w:rsidRDefault="00A76686" w:rsidP="00A76686">
      <w:pPr>
        <w:rPr>
          <w:rFonts w:ascii="Tahoma" w:eastAsia="Times New Roman" w:hAnsi="Tahoma" w:cs="Tahoma"/>
          <w:b/>
          <w:sz w:val="38"/>
          <w:szCs w:val="38"/>
          <w:lang w:val="tr-TR"/>
        </w:rPr>
      </w:pPr>
    </w:p>
    <w:p w:rsidR="00A76686" w:rsidRPr="00BF79BA" w:rsidRDefault="00A76686" w:rsidP="00A76686">
      <w:pPr>
        <w:jc w:val="both"/>
        <w:rPr>
          <w:rFonts w:ascii="Tahoma" w:eastAsia="Times New Roman" w:hAnsi="Tahoma" w:cs="Tahoma"/>
          <w:b/>
          <w:sz w:val="26"/>
          <w:szCs w:val="26"/>
          <w:lang w:val="tr-TR"/>
        </w:rPr>
      </w:pPr>
      <w:r w:rsidRPr="00BF79BA">
        <w:rPr>
          <w:rFonts w:ascii="Tahoma" w:hAnsi="Tahoma" w:cs="Tahoma"/>
          <w:b/>
          <w:sz w:val="26"/>
          <w:szCs w:val="26"/>
          <w:lang w:bidi="lt-LT"/>
        </w:rPr>
        <w:t>Be aukštų eksporto rezultatų 2018 m., „Karsan“, nepaisant mažėjančios rinkos, pasiekė neblogą vidaus pardavimų skaičių. „Karsan“ generalinis direktorius Okanas Başas teigė, kad, kalbant apie prekių ženklo vidaus pardavimų skaičius, eksporto rodiklius ir aprūpinimo tinklą Europoje, bendrovės eksporto apyvarta per pastaruosius trejus metus išaugo 50 proc., o 2018 m. buvo pasiekta 132 mln. EUR eksporto apyvarta.</w:t>
      </w:r>
      <w:r w:rsidRPr="00BF79BA">
        <w:rPr>
          <w:rFonts w:ascii="Tahoma" w:hAnsi="Tahoma" w:cs="Tahoma"/>
          <w:b/>
          <w:sz w:val="26"/>
          <w:szCs w:val="26"/>
          <w:lang w:bidi="lt-LT"/>
        </w:rPr>
        <w:br/>
        <w:t xml:space="preserve"> Başas taip pat pareiškė, kad, nepaisant mažėjančios vidaus rinkos, „Jest+“ padidino savo rinkos dalį iki 48 proc.  </w:t>
      </w:r>
    </w:p>
    <w:p w:rsidR="00A76686" w:rsidRPr="00BF79BA" w:rsidRDefault="00A76686" w:rsidP="00A76686">
      <w:pPr>
        <w:jc w:val="both"/>
        <w:rPr>
          <w:rFonts w:ascii="Tahoma" w:eastAsia="Times New Roman" w:hAnsi="Tahoma" w:cs="Tahoma"/>
          <w:b/>
          <w:sz w:val="26"/>
          <w:szCs w:val="26"/>
          <w:lang w:val="tr-TR"/>
        </w:rPr>
      </w:pPr>
    </w:p>
    <w:p w:rsidR="00A76686" w:rsidRPr="00BF79BA" w:rsidRDefault="00A76686" w:rsidP="00A76686">
      <w:pPr>
        <w:jc w:val="both"/>
        <w:rPr>
          <w:rFonts w:ascii="Tahoma" w:eastAsia="Times New Roman" w:hAnsi="Tahoma" w:cs="Tahoma"/>
          <w:sz w:val="26"/>
          <w:szCs w:val="26"/>
          <w:lang w:val="tr-TR"/>
        </w:rPr>
      </w:pPr>
      <w:r w:rsidRPr="00BF79BA">
        <w:rPr>
          <w:rFonts w:ascii="Tahoma" w:hAnsi="Tahoma" w:cs="Tahoma"/>
          <w:sz w:val="26"/>
          <w:szCs w:val="26"/>
          <w:lang w:bidi="lt-LT"/>
        </w:rPr>
        <w:t xml:space="preserve">Be aukštų eksporto rezultatų 2018 m., „Karsan“, nepaisant mažėjančios rinkos, pasiekė neblogą vidaus pardavimų rezultatų. „Karsan“ laikosi transporto priemonių technologijų naujovių viršūnėje, todėl „Jest Electric“ pradėjo serijinę gamybą, ir dėl to buvo pradėta bendradarbiauti su BMW. Europoje taip pat buvo pristatytas „Atak Electric“ prototipas. Vertindamas 2018 metų veiklą, „Karsan“ generalinis direktorius Okanas Başas pakomentavo prekių ženklo vidaus rinką ir eksporto rodiklius bei aprūpinimo tinklą Europoje. </w:t>
      </w:r>
    </w:p>
    <w:p w:rsidR="00A76686" w:rsidRPr="00BF79BA" w:rsidRDefault="00A76686" w:rsidP="00A76686">
      <w:pPr>
        <w:jc w:val="both"/>
        <w:rPr>
          <w:rFonts w:ascii="Tahoma" w:eastAsia="Times New Roman" w:hAnsi="Tahoma" w:cs="Tahoma"/>
          <w:sz w:val="26"/>
          <w:szCs w:val="26"/>
          <w:lang w:val="tr-TR"/>
        </w:rPr>
      </w:pPr>
    </w:p>
    <w:p w:rsidR="00A76686" w:rsidRPr="00BF79BA" w:rsidRDefault="00A76686" w:rsidP="00A76686">
      <w:pPr>
        <w:jc w:val="both"/>
        <w:rPr>
          <w:rFonts w:ascii="Tahoma" w:eastAsia="Times New Roman" w:hAnsi="Tahoma" w:cs="Tahoma"/>
          <w:b/>
          <w:sz w:val="26"/>
          <w:szCs w:val="26"/>
          <w:lang w:val="tr-TR"/>
        </w:rPr>
      </w:pPr>
      <w:r w:rsidRPr="00BF79BA">
        <w:rPr>
          <w:rFonts w:ascii="Tahoma" w:hAnsi="Tahoma" w:cs="Tahoma"/>
          <w:b/>
          <w:sz w:val="26"/>
          <w:szCs w:val="26"/>
          <w:lang w:bidi="lt-LT"/>
        </w:rPr>
        <w:t xml:space="preserve">„2018 m. pasiekėme 132 mln. EUR apyvartą“ </w:t>
      </w:r>
    </w:p>
    <w:p w:rsidR="00A76686" w:rsidRPr="00BF79BA" w:rsidRDefault="00A76686" w:rsidP="00A76686">
      <w:pPr>
        <w:jc w:val="both"/>
        <w:rPr>
          <w:rFonts w:ascii="Tahoma" w:eastAsia="Times New Roman" w:hAnsi="Tahoma" w:cs="Tahoma"/>
          <w:sz w:val="26"/>
          <w:szCs w:val="26"/>
          <w:lang w:val="tr-TR"/>
        </w:rPr>
      </w:pPr>
    </w:p>
    <w:p w:rsidR="00A76686" w:rsidRPr="00BF79BA" w:rsidRDefault="00A76686" w:rsidP="00A76686">
      <w:pPr>
        <w:jc w:val="both"/>
        <w:rPr>
          <w:rFonts w:ascii="Tahoma" w:eastAsia="Times New Roman" w:hAnsi="Tahoma" w:cs="Tahoma"/>
          <w:sz w:val="26"/>
          <w:szCs w:val="26"/>
          <w:lang w:val="tr-TR"/>
        </w:rPr>
      </w:pPr>
      <w:r w:rsidRPr="00BF79BA">
        <w:rPr>
          <w:rFonts w:ascii="Tahoma" w:hAnsi="Tahoma" w:cs="Tahoma"/>
          <w:sz w:val="26"/>
          <w:szCs w:val="26"/>
          <w:lang w:bidi="lt-LT"/>
        </w:rPr>
        <w:t>Başas tęsė: „2018 m. tapome trečiuoju prekių ženklu, kur gaminamos lengviausios komercinės transporto priemonės. Eksporto dalis mūsų pardavimų apyvartoje padidėjo iki 61 proc. Nuo 2016 m. padidinome savo eksporto apyvartą 50 proc. iki 132 mln. EUR, o tai yra didžiausios mūsų eksporto pajamos per pastaruosius trejus metus. Daugiausia, ką mums, kaip „Karsan“, pavyko parduoti Europoje, – tai parduoti 122 autobusai Rumunijoje, kur 2018 m. laimėjome konkursą dėl autobusų pardavimo.  Eksporto sėkmė ir veiksmai, kurių ėmėmės dėl elektrinių transporto priemonių, yra tvirtas mūsų vizijos Europoje įrodymas.“</w:t>
      </w:r>
    </w:p>
    <w:p w:rsidR="00A76686" w:rsidRPr="00BF79BA" w:rsidRDefault="00A76686" w:rsidP="00A76686">
      <w:pPr>
        <w:jc w:val="both"/>
        <w:rPr>
          <w:rFonts w:ascii="Tahoma" w:eastAsia="Times New Roman" w:hAnsi="Tahoma" w:cs="Tahoma"/>
          <w:b/>
          <w:sz w:val="26"/>
          <w:szCs w:val="26"/>
          <w:u w:val="single"/>
          <w:lang w:val="tr-TR"/>
        </w:rPr>
      </w:pPr>
      <w:bookmarkStart w:id="0" w:name="_GoBack"/>
    </w:p>
    <w:bookmarkEnd w:id="0"/>
    <w:p w:rsidR="00A76686" w:rsidRPr="00BF79BA" w:rsidRDefault="00A76686" w:rsidP="00A76686">
      <w:pPr>
        <w:spacing w:after="160" w:line="259" w:lineRule="auto"/>
        <w:rPr>
          <w:rFonts w:ascii="Tahoma" w:eastAsia="Times New Roman" w:hAnsi="Tahoma" w:cs="Tahoma"/>
          <w:b/>
          <w:sz w:val="26"/>
          <w:szCs w:val="26"/>
          <w:lang w:val="tr-TR"/>
        </w:rPr>
      </w:pPr>
      <w:r w:rsidRPr="00BF79BA">
        <w:rPr>
          <w:rFonts w:ascii="Tahoma" w:hAnsi="Tahoma" w:cs="Tahoma"/>
          <w:b/>
          <w:sz w:val="26"/>
          <w:szCs w:val="26"/>
          <w:lang w:bidi="lt-LT"/>
        </w:rPr>
        <w:br w:type="page"/>
      </w:r>
    </w:p>
    <w:p w:rsidR="00A76686" w:rsidRPr="00BF79BA" w:rsidRDefault="00A76686" w:rsidP="00A76686">
      <w:pPr>
        <w:jc w:val="both"/>
        <w:rPr>
          <w:rFonts w:ascii="Tahoma" w:eastAsia="Times New Roman" w:hAnsi="Tahoma" w:cs="Tahoma"/>
          <w:b/>
          <w:sz w:val="26"/>
          <w:szCs w:val="26"/>
          <w:lang w:val="tr-TR"/>
        </w:rPr>
      </w:pPr>
      <w:r w:rsidRPr="00BF79BA">
        <w:rPr>
          <w:rFonts w:ascii="Tahoma" w:hAnsi="Tahoma" w:cs="Tahoma"/>
          <w:b/>
          <w:sz w:val="26"/>
          <w:szCs w:val="26"/>
          <w:lang w:bidi="lt-LT"/>
        </w:rPr>
        <w:lastRenderedPageBreak/>
        <w:t>„2019 m. pagrindinis mūsų dėmesys skiriamas eksportui“</w:t>
      </w:r>
    </w:p>
    <w:p w:rsidR="00A76686" w:rsidRPr="00BF79BA" w:rsidRDefault="00A76686" w:rsidP="00A76686">
      <w:pPr>
        <w:jc w:val="both"/>
        <w:rPr>
          <w:rFonts w:ascii="Tahoma" w:eastAsia="Times New Roman" w:hAnsi="Tahoma" w:cs="Tahoma"/>
          <w:sz w:val="26"/>
          <w:szCs w:val="26"/>
          <w:lang w:val="tr-TR"/>
        </w:rPr>
      </w:pPr>
    </w:p>
    <w:p w:rsidR="00A76686" w:rsidRPr="00BF79BA" w:rsidRDefault="00A76686" w:rsidP="00A76686">
      <w:pPr>
        <w:jc w:val="both"/>
        <w:rPr>
          <w:rFonts w:ascii="Tahoma" w:eastAsia="Times New Roman" w:hAnsi="Tahoma" w:cs="Tahoma"/>
          <w:sz w:val="26"/>
          <w:szCs w:val="26"/>
          <w:lang w:val="tr-TR"/>
        </w:rPr>
      </w:pPr>
      <w:r w:rsidRPr="00BF79BA">
        <w:rPr>
          <w:rFonts w:ascii="Tahoma" w:hAnsi="Tahoma" w:cs="Tahoma"/>
          <w:sz w:val="26"/>
          <w:szCs w:val="26"/>
          <w:lang w:bidi="lt-LT"/>
        </w:rPr>
        <w:t xml:space="preserve">Teigdamas, kad dabar naudojamasi Europoje atliktų veiksmų rezultatais, Başas pasakė: „Gauname pirmuosius Europos užsakymus parduoti „Jest Electric“. Šiais metais su „Jest Electric“ norime patekti į Amerikos rinką, akcentuodami tolesnius kelionės elektros transporto priemonių eksporto srityje veiksmus.“ Kartu Başas nurodė, kad šiemet „Atak Electric“ taip pat pradės imtis serijinės gamybos.  </w:t>
      </w:r>
    </w:p>
    <w:p w:rsidR="00A76686" w:rsidRPr="00BF79BA" w:rsidRDefault="00A76686" w:rsidP="00A76686">
      <w:pPr>
        <w:jc w:val="both"/>
        <w:rPr>
          <w:rFonts w:ascii="Tahoma" w:eastAsia="Times New Roman" w:hAnsi="Tahoma" w:cs="Tahoma"/>
          <w:b/>
          <w:sz w:val="26"/>
          <w:szCs w:val="26"/>
          <w:u w:val="single"/>
          <w:lang w:val="tr-TR"/>
        </w:rPr>
      </w:pPr>
    </w:p>
    <w:p w:rsidR="00A76686" w:rsidRPr="00BF79BA" w:rsidRDefault="00A76686" w:rsidP="00A76686">
      <w:pPr>
        <w:jc w:val="both"/>
        <w:rPr>
          <w:rFonts w:ascii="Tahoma" w:eastAsia="Times New Roman" w:hAnsi="Tahoma" w:cs="Tahoma"/>
          <w:b/>
          <w:sz w:val="26"/>
          <w:szCs w:val="26"/>
          <w:lang w:val="tr-TR"/>
        </w:rPr>
      </w:pPr>
      <w:r w:rsidRPr="00BF79BA">
        <w:rPr>
          <w:rFonts w:ascii="Tahoma" w:hAnsi="Tahoma" w:cs="Tahoma"/>
          <w:b/>
          <w:sz w:val="26"/>
          <w:szCs w:val="26"/>
          <w:lang w:bidi="lt-LT"/>
        </w:rPr>
        <w:t>„2019 m. pradėjome su 46,5 mln. EUR užsakymu“</w:t>
      </w:r>
    </w:p>
    <w:p w:rsidR="00A76686" w:rsidRPr="00BF79BA" w:rsidRDefault="00A76686" w:rsidP="00A76686">
      <w:pPr>
        <w:jc w:val="both"/>
        <w:rPr>
          <w:rFonts w:ascii="Tahoma" w:eastAsia="Times New Roman" w:hAnsi="Tahoma" w:cs="Tahoma"/>
          <w:b/>
          <w:sz w:val="26"/>
          <w:szCs w:val="26"/>
          <w:u w:val="single"/>
          <w:lang w:val="tr-TR"/>
        </w:rPr>
      </w:pPr>
    </w:p>
    <w:p w:rsidR="00A76686" w:rsidRPr="00BF79BA" w:rsidRDefault="00A76686" w:rsidP="00A76686">
      <w:pPr>
        <w:jc w:val="both"/>
        <w:rPr>
          <w:rFonts w:ascii="Tahoma" w:eastAsia="Times New Roman" w:hAnsi="Tahoma" w:cs="Tahoma"/>
          <w:sz w:val="26"/>
          <w:szCs w:val="26"/>
          <w:lang w:val="tr-TR"/>
        </w:rPr>
      </w:pPr>
      <w:r w:rsidRPr="00BF79BA">
        <w:rPr>
          <w:rFonts w:ascii="Tahoma" w:hAnsi="Tahoma" w:cs="Tahoma"/>
          <w:sz w:val="26"/>
          <w:szCs w:val="26"/>
          <w:lang w:bidi="lt-LT"/>
        </w:rPr>
        <w:t xml:space="preserve">Pažymima, kad buvo baigti pristatyti autobusai „Industria Italiana Autobus S.p.A.“ (IIA), ir tai buvo 2018 m. užsakymas, kurio vertė siekė 51 mln. EUR. Başas tęsė: „Tvirtai pradedame 2019 m. su kitu IIA užsakymu, kurio vertė – 46,5 mln. EUR. Kaip vienas iš seniausių ir geriausiai įsitvirtinusių vidaus automobilių gamintojų Turkijoje, labai džiaugiamės dėl šio užsakymo, pradedančio 2019 m., kurie numatomi kaip sunkūs vidaus ekonomikai.“  </w:t>
      </w:r>
    </w:p>
    <w:p w:rsidR="00A76686" w:rsidRPr="00BF79BA" w:rsidRDefault="00A76686" w:rsidP="00A76686">
      <w:pPr>
        <w:jc w:val="both"/>
        <w:rPr>
          <w:rFonts w:ascii="Tahoma" w:eastAsia="Times New Roman" w:hAnsi="Tahoma" w:cs="Tahoma"/>
          <w:sz w:val="26"/>
          <w:szCs w:val="26"/>
          <w:lang w:val="tr-TR"/>
        </w:rPr>
      </w:pPr>
    </w:p>
    <w:p w:rsidR="00A76686" w:rsidRPr="00BF79BA" w:rsidRDefault="00A76686" w:rsidP="00A76686">
      <w:pPr>
        <w:jc w:val="both"/>
        <w:rPr>
          <w:rFonts w:ascii="Tahoma" w:eastAsia="Times New Roman" w:hAnsi="Tahoma" w:cs="Tahoma"/>
          <w:b/>
          <w:sz w:val="26"/>
          <w:szCs w:val="26"/>
          <w:lang w:val="tr-TR"/>
        </w:rPr>
      </w:pPr>
      <w:r w:rsidRPr="00BF79BA">
        <w:rPr>
          <w:rFonts w:ascii="Tahoma" w:hAnsi="Tahoma" w:cs="Tahoma"/>
          <w:b/>
          <w:sz w:val="26"/>
          <w:szCs w:val="26"/>
          <w:lang w:bidi="lt-LT"/>
        </w:rPr>
        <w:t>Turima didžioji „Jest“ rinkos dalis</w:t>
      </w:r>
    </w:p>
    <w:p w:rsidR="00A76686" w:rsidRPr="00BF79BA" w:rsidRDefault="00A76686" w:rsidP="00A76686">
      <w:pPr>
        <w:jc w:val="both"/>
        <w:rPr>
          <w:rFonts w:ascii="Tahoma" w:eastAsia="Times New Roman" w:hAnsi="Tahoma" w:cs="Tahoma"/>
          <w:sz w:val="26"/>
          <w:szCs w:val="26"/>
          <w:lang w:val="tr-TR"/>
        </w:rPr>
      </w:pPr>
    </w:p>
    <w:p w:rsidR="00A76686" w:rsidRPr="00BF79BA" w:rsidRDefault="00A76686" w:rsidP="00A76686">
      <w:pPr>
        <w:jc w:val="both"/>
        <w:rPr>
          <w:rFonts w:ascii="Tahoma" w:eastAsia="Times New Roman" w:hAnsi="Tahoma" w:cs="Tahoma"/>
          <w:sz w:val="26"/>
          <w:szCs w:val="26"/>
          <w:lang w:val="tr-TR"/>
        </w:rPr>
      </w:pPr>
      <w:r w:rsidRPr="00BF79BA">
        <w:rPr>
          <w:rFonts w:ascii="Tahoma" w:hAnsi="Tahoma" w:cs="Tahoma"/>
          <w:sz w:val="26"/>
          <w:szCs w:val="26"/>
          <w:lang w:bidi="lt-LT"/>
        </w:rPr>
        <w:t>Başas pabrėžė, kad 2018 m. buvo sunkūs metai vidaus rinkos automobilių sektoriui, tačiau „Jest +“ ir „Atak“ vis tiek leido padidinti savo dalį vidaus rinkoje. Başas pranešė: „Pernai pasiekėme didžiulį „Jest+“ pardavimo augimą, ir šis modelis yra pavyzdinis mūsų gaminys. Atnaujinome jį prieš dvejus metus, remdamiesi klientų atsiliepimais. 2018 m. padidinome gaminio rinkos dalį iki 48 proc., kuri prieš metus sudarė 32 proc., ir tai pasiekėme nepaisydami mažėjančios rinkos. Tuo pačiu laikotarpiu „Atak“ modelio, kuris yra 8 metrų segmento pradininkas, pardavimus padvigubinome, nepaisydami naujų konkurentų rinkoje, ir pardavėme 286 vienetus.</w:t>
      </w:r>
      <w:r w:rsidRPr="00BF79BA">
        <w:rPr>
          <w:rFonts w:ascii="Tahoma" w:hAnsi="Tahoma" w:cs="Tahoma"/>
          <w:sz w:val="26"/>
          <w:szCs w:val="26"/>
          <w:lang w:bidi="lt-LT"/>
        </w:rPr>
        <w:br/>
        <w:t xml:space="preserve"> Šiemet didžiausias pardavimo vienu kartu rodiklis buvo 150 vienetų Sivaso provincijai. Ir toliau esame Turkijos prekių ženklas, kuriam teikiama pirmenybė, taip pat 2018 m. tapome viešojo transporto pionieriais.“</w:t>
      </w:r>
    </w:p>
    <w:p w:rsidR="00A76686" w:rsidRPr="00BF79BA" w:rsidRDefault="00A76686" w:rsidP="00A76686">
      <w:pPr>
        <w:jc w:val="both"/>
        <w:rPr>
          <w:rFonts w:ascii="Tahoma" w:eastAsia="Times New Roman" w:hAnsi="Tahoma" w:cs="Tahoma"/>
          <w:sz w:val="26"/>
          <w:szCs w:val="26"/>
          <w:lang w:val="tr-TR"/>
        </w:rPr>
      </w:pPr>
    </w:p>
    <w:p w:rsidR="00A76686" w:rsidRPr="00BF79BA" w:rsidRDefault="00A76686" w:rsidP="00A76686">
      <w:pPr>
        <w:spacing w:after="160" w:line="259" w:lineRule="auto"/>
        <w:rPr>
          <w:rFonts w:ascii="Tahoma" w:eastAsia="Times New Roman" w:hAnsi="Tahoma" w:cs="Tahoma"/>
          <w:b/>
          <w:sz w:val="26"/>
          <w:szCs w:val="26"/>
          <w:lang w:val="tr-TR"/>
        </w:rPr>
      </w:pPr>
      <w:r w:rsidRPr="00BF79BA">
        <w:rPr>
          <w:rFonts w:ascii="Tahoma" w:hAnsi="Tahoma" w:cs="Tahoma"/>
          <w:b/>
          <w:sz w:val="26"/>
          <w:szCs w:val="26"/>
          <w:lang w:bidi="lt-LT"/>
        </w:rPr>
        <w:br w:type="page"/>
      </w:r>
    </w:p>
    <w:p w:rsidR="00A76686" w:rsidRPr="00BF79BA" w:rsidRDefault="00A76686" w:rsidP="00A76686">
      <w:pPr>
        <w:jc w:val="both"/>
        <w:rPr>
          <w:rFonts w:ascii="Tahoma" w:eastAsia="Times New Roman" w:hAnsi="Tahoma" w:cs="Tahoma"/>
          <w:b/>
          <w:sz w:val="26"/>
          <w:szCs w:val="26"/>
          <w:lang w:val="tr-TR"/>
        </w:rPr>
      </w:pPr>
    </w:p>
    <w:p w:rsidR="00A76686" w:rsidRPr="00BF79BA" w:rsidRDefault="00A76686" w:rsidP="00A76686">
      <w:pPr>
        <w:jc w:val="both"/>
        <w:rPr>
          <w:rFonts w:ascii="Tahoma" w:eastAsia="Times New Roman" w:hAnsi="Tahoma" w:cs="Tahoma"/>
          <w:b/>
          <w:sz w:val="26"/>
          <w:szCs w:val="26"/>
          <w:lang w:val="tr-TR"/>
        </w:rPr>
      </w:pPr>
    </w:p>
    <w:p w:rsidR="00A76686" w:rsidRPr="00BF79BA" w:rsidRDefault="00A76686" w:rsidP="00A76686">
      <w:pPr>
        <w:jc w:val="both"/>
        <w:rPr>
          <w:rFonts w:ascii="Tahoma" w:eastAsia="Times New Roman" w:hAnsi="Tahoma" w:cs="Tahoma"/>
          <w:b/>
          <w:sz w:val="26"/>
          <w:szCs w:val="26"/>
          <w:lang w:val="tr-TR"/>
        </w:rPr>
      </w:pPr>
    </w:p>
    <w:p w:rsidR="00A76686" w:rsidRPr="00BF79BA" w:rsidRDefault="00A76686" w:rsidP="00A76686">
      <w:pPr>
        <w:jc w:val="both"/>
        <w:rPr>
          <w:rFonts w:ascii="Tahoma" w:eastAsia="Times New Roman" w:hAnsi="Tahoma" w:cs="Tahoma"/>
          <w:b/>
          <w:sz w:val="26"/>
          <w:szCs w:val="26"/>
          <w:lang w:val="tr-TR"/>
        </w:rPr>
      </w:pPr>
    </w:p>
    <w:p w:rsidR="00A76686" w:rsidRPr="00BF79BA" w:rsidRDefault="00A76686" w:rsidP="00A76686">
      <w:pPr>
        <w:jc w:val="both"/>
        <w:rPr>
          <w:rFonts w:ascii="Tahoma" w:eastAsia="Times New Roman" w:hAnsi="Tahoma" w:cs="Tahoma"/>
          <w:b/>
          <w:sz w:val="26"/>
          <w:szCs w:val="26"/>
          <w:lang w:val="tr-TR"/>
        </w:rPr>
      </w:pPr>
    </w:p>
    <w:p w:rsidR="00A76686" w:rsidRPr="00BF79BA" w:rsidRDefault="00A76686" w:rsidP="00A76686">
      <w:pPr>
        <w:jc w:val="both"/>
        <w:rPr>
          <w:rFonts w:ascii="Tahoma" w:eastAsia="Times New Roman" w:hAnsi="Tahoma" w:cs="Tahoma"/>
          <w:b/>
          <w:sz w:val="26"/>
          <w:szCs w:val="26"/>
          <w:lang w:val="tr-TR"/>
        </w:rPr>
      </w:pPr>
      <w:r w:rsidRPr="00BF79BA">
        <w:rPr>
          <w:rFonts w:ascii="Tahoma" w:hAnsi="Tahoma" w:cs="Tahoma"/>
          <w:b/>
          <w:sz w:val="26"/>
          <w:szCs w:val="26"/>
          <w:lang w:bidi="lt-LT"/>
        </w:rPr>
        <w:t>„Išplėsime savo aprūpinimo tinklą į 20 šalių“</w:t>
      </w:r>
    </w:p>
    <w:p w:rsidR="00A76686" w:rsidRPr="00BF79BA" w:rsidRDefault="00A76686" w:rsidP="00A76686">
      <w:pPr>
        <w:jc w:val="both"/>
        <w:rPr>
          <w:rFonts w:ascii="Tahoma" w:eastAsia="Times New Roman" w:hAnsi="Tahoma" w:cs="Tahoma"/>
          <w:sz w:val="26"/>
          <w:szCs w:val="26"/>
          <w:lang w:val="tr-TR"/>
        </w:rPr>
      </w:pPr>
    </w:p>
    <w:p w:rsidR="00A76686" w:rsidRPr="00BF79BA" w:rsidRDefault="00A76686" w:rsidP="00A76686">
      <w:pPr>
        <w:jc w:val="both"/>
        <w:rPr>
          <w:rFonts w:ascii="Tahoma" w:eastAsia="Times New Roman" w:hAnsi="Tahoma" w:cs="Tahoma"/>
          <w:sz w:val="26"/>
          <w:szCs w:val="26"/>
          <w:lang w:val="tr-TR"/>
        </w:rPr>
      </w:pPr>
      <w:r w:rsidRPr="00BF79BA">
        <w:rPr>
          <w:rFonts w:ascii="Tahoma" w:hAnsi="Tahoma" w:cs="Tahoma"/>
          <w:sz w:val="26"/>
          <w:szCs w:val="26"/>
          <w:lang w:bidi="lt-LT"/>
        </w:rPr>
        <w:t>Be savo pastabų dėl padarytos didelės pažangos siekiant tapti žinomu ir patikimu viešojo transporto prekių ženklu Europoje, Başas pabrėžė, kad bendrovė šiuo metu turi platinimo būstinę vienuolikoje šalių. Başas sakė: „Kaip bendrovė „Karsan“, ketiname išplėsti savo tinklą į naujas šalis visuose žemynuose, ypač Europoje. Jau sukūrėme platinimo mechanizmus Prancūzijoje, Italijoje, Rumunijoje, Lenkijoje ir Azerbaidžane. Siekiame, kad iki 2019 m. pabaigos išplėstume savo platinimo tinklą į 20 šalių.“</w:t>
      </w:r>
    </w:p>
    <w:p w:rsidR="00A76686" w:rsidRPr="00BF79BA" w:rsidRDefault="00A76686" w:rsidP="00A76686">
      <w:pPr>
        <w:jc w:val="both"/>
        <w:rPr>
          <w:rFonts w:ascii="Tahoma" w:eastAsia="Times New Roman" w:hAnsi="Tahoma" w:cs="Tahoma"/>
          <w:sz w:val="26"/>
          <w:szCs w:val="26"/>
          <w:lang w:val="tr-TR"/>
        </w:rPr>
      </w:pPr>
    </w:p>
    <w:p w:rsidR="00A76686" w:rsidRPr="00BF79BA" w:rsidRDefault="00A76686" w:rsidP="00A76686">
      <w:pPr>
        <w:jc w:val="both"/>
        <w:rPr>
          <w:rFonts w:ascii="Tahoma" w:eastAsia="Times New Roman" w:hAnsi="Tahoma" w:cs="Tahoma"/>
          <w:sz w:val="26"/>
          <w:szCs w:val="26"/>
          <w:lang w:val="tr-TR"/>
        </w:rPr>
      </w:pPr>
    </w:p>
    <w:p w:rsidR="00A76686" w:rsidRPr="00BF79BA" w:rsidRDefault="00A76686" w:rsidP="00A76686">
      <w:pPr>
        <w:jc w:val="both"/>
        <w:rPr>
          <w:rFonts w:ascii="Tahoma" w:eastAsia="Times New Roman" w:hAnsi="Tahoma" w:cs="Tahoma"/>
          <w:sz w:val="26"/>
          <w:szCs w:val="26"/>
          <w:lang w:val="tr-TR"/>
        </w:rPr>
      </w:pPr>
    </w:p>
    <w:p w:rsidR="00A76686" w:rsidRPr="00BF79BA" w:rsidRDefault="00A76686" w:rsidP="00A76686">
      <w:pPr>
        <w:rPr>
          <w:rFonts w:ascii="Tahoma" w:hAnsi="Tahoma" w:cs="Tahoma"/>
          <w:lang w:val="tr-TR"/>
        </w:rPr>
      </w:pPr>
    </w:p>
    <w:p w:rsidR="00F1488B" w:rsidRPr="00BF79BA" w:rsidRDefault="00F1488B" w:rsidP="00071069">
      <w:pPr>
        <w:rPr>
          <w:rFonts w:ascii="Tahoma" w:hAnsi="Tahoma" w:cs="Tahoma"/>
        </w:rPr>
      </w:pPr>
    </w:p>
    <w:sectPr w:rsidR="00F1488B" w:rsidRPr="00BF79BA" w:rsidSect="00396188">
      <w:headerReference w:type="default" r:id="rId6"/>
      <w:footerReference w:type="default" r:id="rId7"/>
      <w:pgSz w:w="11907" w:h="16840"/>
      <w:pgMar w:top="1560" w:right="1300" w:bottom="280" w:left="1300" w:header="1701" w:footer="226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A0C" w:rsidRDefault="005B7A0C" w:rsidP="00396188">
      <w:r>
        <w:separator/>
      </w:r>
    </w:p>
  </w:endnote>
  <w:endnote w:type="continuationSeparator" w:id="0">
    <w:p w:rsidR="005B7A0C" w:rsidRDefault="005B7A0C" w:rsidP="00396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188" w:rsidRPr="00396188" w:rsidRDefault="00396188">
    <w:pPr>
      <w:pStyle w:val="Footer"/>
      <w:rPr>
        <w:lang w:val="tr-TR"/>
      </w:rPr>
    </w:pPr>
    <w:r>
      <w:rPr>
        <w:lang w:bidi="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A0C" w:rsidRDefault="005B7A0C" w:rsidP="00396188">
      <w:r>
        <w:separator/>
      </w:r>
    </w:p>
  </w:footnote>
  <w:footnote w:type="continuationSeparator" w:id="0">
    <w:p w:rsidR="005B7A0C" w:rsidRDefault="005B7A0C" w:rsidP="00396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188" w:rsidRDefault="00AC1392">
    <w:pPr>
      <w:pStyle w:val="Header"/>
    </w:pPr>
    <w:r>
      <w:rPr>
        <w:noProof/>
        <w:lang w:val="tr-TR" w:eastAsia="tr-TR"/>
      </w:rPr>
      <w:drawing>
        <wp:anchor distT="0" distB="0" distL="114300" distR="114300" simplePos="0" relativeHeight="251659264" behindDoc="1" locked="0" layoutInCell="1" allowOverlap="1" wp14:anchorId="4436CE02" wp14:editId="0589F12E">
          <wp:simplePos x="0" y="0"/>
          <wp:positionH relativeFrom="page">
            <wp:posOffset>5990</wp:posOffset>
          </wp:positionH>
          <wp:positionV relativeFrom="paragraph">
            <wp:posOffset>-1078302</wp:posOffset>
          </wp:positionV>
          <wp:extent cx="7551420" cy="1067870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tetl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420" cy="10678700"/>
                  </a:xfrm>
                  <a:prstGeom prst="rect">
                    <a:avLst/>
                  </a:prstGeom>
                </pic:spPr>
              </pic:pic>
            </a:graphicData>
          </a:graphic>
          <wp14:sizeRelH relativeFrom="margin">
            <wp14:pctWidth>0</wp14:pctWidth>
          </wp14:sizeRelH>
          <wp14:sizeRelV relativeFrom="margin">
            <wp14:pctHeight>0</wp14:pctHeight>
          </wp14:sizeRelV>
        </wp:anchor>
      </w:drawing>
    </w:r>
    <w:r w:rsidR="00396188">
      <w:rPr>
        <w:lang w:bidi="lt-LT"/>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D44"/>
    <w:rsid w:val="00071069"/>
    <w:rsid w:val="00085A91"/>
    <w:rsid w:val="000914B5"/>
    <w:rsid w:val="000B5D20"/>
    <w:rsid w:val="000F397B"/>
    <w:rsid w:val="0010324E"/>
    <w:rsid w:val="0019145A"/>
    <w:rsid w:val="001D325F"/>
    <w:rsid w:val="001E03DD"/>
    <w:rsid w:val="00293016"/>
    <w:rsid w:val="002A2C87"/>
    <w:rsid w:val="002A6247"/>
    <w:rsid w:val="002A7B7B"/>
    <w:rsid w:val="002B3B1A"/>
    <w:rsid w:val="002C02EE"/>
    <w:rsid w:val="002C314A"/>
    <w:rsid w:val="002D0993"/>
    <w:rsid w:val="00303C1E"/>
    <w:rsid w:val="00333268"/>
    <w:rsid w:val="00334D3B"/>
    <w:rsid w:val="00392E0D"/>
    <w:rsid w:val="00396188"/>
    <w:rsid w:val="003B6599"/>
    <w:rsid w:val="0042759B"/>
    <w:rsid w:val="00427ACB"/>
    <w:rsid w:val="004862A0"/>
    <w:rsid w:val="00566AC0"/>
    <w:rsid w:val="00574063"/>
    <w:rsid w:val="005933FB"/>
    <w:rsid w:val="005A67FC"/>
    <w:rsid w:val="005B7A0C"/>
    <w:rsid w:val="005C59AA"/>
    <w:rsid w:val="005D06B5"/>
    <w:rsid w:val="00600D6F"/>
    <w:rsid w:val="0066144C"/>
    <w:rsid w:val="00666A1F"/>
    <w:rsid w:val="00680BC0"/>
    <w:rsid w:val="006E05F3"/>
    <w:rsid w:val="006E6E4F"/>
    <w:rsid w:val="006F5D51"/>
    <w:rsid w:val="006F6351"/>
    <w:rsid w:val="007268F6"/>
    <w:rsid w:val="00764D44"/>
    <w:rsid w:val="00772096"/>
    <w:rsid w:val="007A45C7"/>
    <w:rsid w:val="007B306D"/>
    <w:rsid w:val="007D06AE"/>
    <w:rsid w:val="00831B52"/>
    <w:rsid w:val="008938E6"/>
    <w:rsid w:val="008C5D44"/>
    <w:rsid w:val="00920CE8"/>
    <w:rsid w:val="009470DF"/>
    <w:rsid w:val="0099154F"/>
    <w:rsid w:val="009C3707"/>
    <w:rsid w:val="00A76686"/>
    <w:rsid w:val="00AC1392"/>
    <w:rsid w:val="00AC3381"/>
    <w:rsid w:val="00AD524A"/>
    <w:rsid w:val="00AD5906"/>
    <w:rsid w:val="00B3477F"/>
    <w:rsid w:val="00B6386C"/>
    <w:rsid w:val="00BC32C9"/>
    <w:rsid w:val="00BF79BA"/>
    <w:rsid w:val="00CB6120"/>
    <w:rsid w:val="00D30F71"/>
    <w:rsid w:val="00D410CB"/>
    <w:rsid w:val="00D43DD0"/>
    <w:rsid w:val="00D5252B"/>
    <w:rsid w:val="00D6343F"/>
    <w:rsid w:val="00DD6852"/>
    <w:rsid w:val="00DE0F81"/>
    <w:rsid w:val="00E0240B"/>
    <w:rsid w:val="00E03C53"/>
    <w:rsid w:val="00E11C5E"/>
    <w:rsid w:val="00E63897"/>
    <w:rsid w:val="00E63EE7"/>
    <w:rsid w:val="00E726C1"/>
    <w:rsid w:val="00E87EDE"/>
    <w:rsid w:val="00EC3D58"/>
    <w:rsid w:val="00EE4031"/>
    <w:rsid w:val="00EE453C"/>
    <w:rsid w:val="00EE6380"/>
    <w:rsid w:val="00F02399"/>
    <w:rsid w:val="00F104B5"/>
    <w:rsid w:val="00F1488B"/>
    <w:rsid w:val="00FF0C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65C8465-310D-41A8-99AC-0CE38E0AA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ind w:left="116"/>
      <w:outlineLvl w:val="0"/>
    </w:pPr>
    <w:rPr>
      <w:rFonts w:ascii="Tahoma" w:hAnsi="Tahoma" w:cs="Tahom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styleId="BodyText">
    <w:name w:val="Body Text"/>
    <w:basedOn w:val="Normal"/>
    <w:link w:val="BodyTextChar1"/>
    <w:uiPriority w:val="1"/>
    <w:qFormat/>
    <w:pPr>
      <w:ind w:left="116"/>
    </w:pPr>
    <w:rPr>
      <w:rFonts w:ascii="Tahoma" w:hAnsi="Tahoma" w:cs="Tahoma"/>
      <w:sz w:val="26"/>
      <w:szCs w:val="26"/>
    </w:rPr>
  </w:style>
  <w:style w:type="character" w:customStyle="1" w:styleId="BodyTextChar">
    <w:name w:val="Body Text Char"/>
    <w:basedOn w:val="DefaultParagraphFont"/>
    <w:uiPriority w:val="99"/>
    <w:semiHidden/>
    <w:rPr>
      <w:rFonts w:ascii="Times New Roman" w:hAnsi="Times New Roman"/>
      <w:sz w:val="24"/>
      <w:szCs w:val="24"/>
    </w:r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Header">
    <w:name w:val="header"/>
    <w:basedOn w:val="Normal"/>
    <w:link w:val="HeaderChar"/>
    <w:uiPriority w:val="99"/>
    <w:unhideWhenUsed/>
    <w:rsid w:val="00396188"/>
    <w:pPr>
      <w:tabs>
        <w:tab w:val="center" w:pos="4536"/>
        <w:tab w:val="right" w:pos="9072"/>
      </w:tabs>
    </w:pPr>
  </w:style>
  <w:style w:type="character" w:customStyle="1" w:styleId="HeaderChar">
    <w:name w:val="Header Char"/>
    <w:basedOn w:val="DefaultParagraphFont"/>
    <w:link w:val="Header"/>
    <w:uiPriority w:val="99"/>
    <w:rsid w:val="00396188"/>
    <w:rPr>
      <w:rFonts w:ascii="Times New Roman" w:hAnsi="Times New Roman"/>
      <w:sz w:val="24"/>
      <w:szCs w:val="24"/>
    </w:rPr>
  </w:style>
  <w:style w:type="paragraph" w:styleId="Footer">
    <w:name w:val="footer"/>
    <w:basedOn w:val="Normal"/>
    <w:link w:val="FooterChar"/>
    <w:uiPriority w:val="99"/>
    <w:unhideWhenUsed/>
    <w:rsid w:val="00396188"/>
    <w:pPr>
      <w:tabs>
        <w:tab w:val="center" w:pos="4536"/>
        <w:tab w:val="right" w:pos="9072"/>
      </w:tabs>
    </w:pPr>
  </w:style>
  <w:style w:type="character" w:customStyle="1" w:styleId="FooterChar">
    <w:name w:val="Footer Char"/>
    <w:basedOn w:val="DefaultParagraphFont"/>
    <w:link w:val="Footer"/>
    <w:uiPriority w:val="99"/>
    <w:rsid w:val="0039618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Guliz Sengor</dc:creator>
  <cp:keywords/>
  <dc:description/>
  <cp:lastModifiedBy>Emre Topuzoglu</cp:lastModifiedBy>
  <cp:revision>6</cp:revision>
  <dcterms:created xsi:type="dcterms:W3CDTF">2019-05-28T10:36:00Z</dcterms:created>
  <dcterms:modified xsi:type="dcterms:W3CDTF">2019-07-18T07:12:00Z</dcterms:modified>
</cp:coreProperties>
</file>